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 </w:t>
      </w:r>
      <w:r w:rsidR="00094D1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Ostrzeszów, dnia 30 kwietnia 2015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r.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Zgodnie z art. 3 ust. 2 pkt 10 ustawy z dnia 13 września 1996r. o utrzymaniu czystości i porządku w gminach jednym z zadań Gminy jest dokonanie corocznej analizy stanu gospodarki odpadami komunalnymi, w celu weryfikacji możliwości technicznych i organizacyjnych Gminy w zakresie gospodarowania odpadami komunalnymi.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Zagadnienia ogólne.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1. W okresie </w:t>
      </w:r>
      <w:r w:rsidR="00094D1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od 1.01.2014</w:t>
      </w:r>
      <w:r w:rsidR="001E54AE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="00094D1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r. do 31.12.2014 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r. odbiór </w:t>
      </w:r>
      <w:r w:rsidR="00094D1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i zagospodarowanie odpadów 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komunalny</w:t>
      </w:r>
      <w:r w:rsidR="00094D1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ch na terenie Miasta i Gminy Ostrzeszów 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odbywał się </w:t>
      </w:r>
      <w:r w:rsidR="007C6C50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przez firmę</w:t>
      </w:r>
      <w:r w:rsidR="00094D1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Eko-Region Be</w:t>
      </w:r>
      <w:r w:rsidR="00094D1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łchatów, oddział w Ostrzeszowie, która została wybrana w drodze przetargu.</w:t>
      </w:r>
    </w:p>
    <w:p w:rsidR="008B6AE0" w:rsidRPr="006F5764" w:rsidRDefault="00094D1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2</w:t>
      </w:r>
      <w:r w:rsidR="00CE4B4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. 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Jednym z zadań Operatora było utworzenie Punktu Selektywnego Zbierania Odpadów </w:t>
      </w:r>
      <w:r w:rsidR="008B6AE0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Komunalnych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="008B6AE0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na terenie Miasta i Gminy Ostrzeszów. Punkt ten zlokalizowany jest w Ostrzeszowie przy ul. Ceglarskiej 1A.</w:t>
      </w:r>
      <w:r w:rsidR="00CE4B4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Do punktu mieszkańcy mogą dostarczać odpady</w:t>
      </w:r>
      <w:r w:rsidR="008B6AE0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problemowe</w:t>
      </w:r>
      <w:r w:rsidR="00CE4B4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tj. </w:t>
      </w:r>
      <w:r w:rsidR="008B6AE0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:</w:t>
      </w:r>
    </w:p>
    <w:p w:rsidR="008B6AE0" w:rsidRPr="006F5764" w:rsidRDefault="008B6AE0" w:rsidP="008B6AE0">
      <w:pPr>
        <w:numPr>
          <w:ilvl w:val="4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6F5764">
        <w:rPr>
          <w:rFonts w:ascii="Times New Roman" w:hAnsi="Times New Roman" w:cs="Times New Roman"/>
          <w:color w:val="000000"/>
          <w:sz w:val="24"/>
        </w:rPr>
        <w:t>Przeterminowane leki o kodzie 20 01 32,</w:t>
      </w:r>
    </w:p>
    <w:p w:rsidR="008B6AE0" w:rsidRPr="006F5764" w:rsidRDefault="008B6AE0" w:rsidP="008B6AE0">
      <w:pPr>
        <w:numPr>
          <w:ilvl w:val="4"/>
          <w:numId w:val="1"/>
        </w:numPr>
        <w:tabs>
          <w:tab w:val="clear" w:pos="770"/>
          <w:tab w:val="num" w:pos="170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6F5764">
        <w:rPr>
          <w:rFonts w:ascii="Times New Roman" w:hAnsi="Times New Roman" w:cs="Times New Roman"/>
          <w:color w:val="000000"/>
        </w:rPr>
        <w:t>Chemikalia (farby, rozpuszczalniki, oleje odpadowe) o kodach 20 01 13*, 20 01 14*,  20 01  15*, 20 01 19*, 20 01 27*, 20 01 29*,</w:t>
      </w:r>
    </w:p>
    <w:p w:rsidR="008B6AE0" w:rsidRPr="006F5764" w:rsidRDefault="008B6AE0" w:rsidP="008B6AE0">
      <w:pPr>
        <w:numPr>
          <w:ilvl w:val="4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F5764">
        <w:rPr>
          <w:rFonts w:ascii="Times New Roman" w:hAnsi="Times New Roman" w:cs="Times New Roman"/>
          <w:color w:val="000000"/>
        </w:rPr>
        <w:t>Zużyte baterie i akumulatory o kodzie 20 01 34,</w:t>
      </w:r>
    </w:p>
    <w:p w:rsidR="008B6AE0" w:rsidRPr="006F5764" w:rsidRDefault="008B6AE0" w:rsidP="008B6AE0">
      <w:pPr>
        <w:numPr>
          <w:ilvl w:val="4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F5764">
        <w:rPr>
          <w:rFonts w:ascii="Times New Roman" w:hAnsi="Times New Roman" w:cs="Times New Roman"/>
          <w:color w:val="000000"/>
        </w:rPr>
        <w:t>Zużyty sprzęt elektryczny i elektroniczny o kodzie 20 01 23, 20 01 35*, 20 01 36,</w:t>
      </w:r>
    </w:p>
    <w:p w:rsidR="008B6AE0" w:rsidRPr="006F5764" w:rsidRDefault="008B6AE0" w:rsidP="008B6AE0">
      <w:pPr>
        <w:numPr>
          <w:ilvl w:val="4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F5764">
        <w:rPr>
          <w:rFonts w:ascii="Times New Roman" w:hAnsi="Times New Roman" w:cs="Times New Roman"/>
          <w:color w:val="000000"/>
        </w:rPr>
        <w:t>Odpady wielkogabarytowe o kodzie 20 03 07</w:t>
      </w:r>
    </w:p>
    <w:p w:rsidR="008B6AE0" w:rsidRPr="006F5764" w:rsidRDefault="008B6AE0" w:rsidP="008B6AE0">
      <w:pPr>
        <w:numPr>
          <w:ilvl w:val="4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F5764">
        <w:rPr>
          <w:rFonts w:ascii="Times New Roman" w:hAnsi="Times New Roman" w:cs="Times New Roman"/>
          <w:color w:val="000000"/>
        </w:rPr>
        <w:t xml:space="preserve">Odpady budowlano – rozbiórkowe </w:t>
      </w:r>
      <w:r w:rsidRPr="006F5764">
        <w:rPr>
          <w:rFonts w:ascii="Times New Roman" w:hAnsi="Times New Roman" w:cs="Times New Roman"/>
          <w:color w:val="000000"/>
          <w:sz w:val="24"/>
        </w:rPr>
        <w:t xml:space="preserve">o kodzie </w:t>
      </w:r>
      <w:r w:rsidRPr="006F5764">
        <w:rPr>
          <w:rFonts w:ascii="Times New Roman" w:hAnsi="Times New Roman" w:cs="Times New Roman"/>
          <w:sz w:val="24"/>
        </w:rPr>
        <w:t>z grupy 17 (ilość odpadów dostarczanych przez właściciela nieruchomości nie może przekraczać ilości określonej w Regulaminie utrzymania czystości i porządku na terenie Gminy)</w:t>
      </w:r>
      <w:r w:rsidRPr="006F5764">
        <w:rPr>
          <w:rFonts w:ascii="Times New Roman" w:hAnsi="Times New Roman" w:cs="Times New Roman"/>
          <w:color w:val="000000"/>
          <w:sz w:val="24"/>
        </w:rPr>
        <w:t>,</w:t>
      </w:r>
    </w:p>
    <w:p w:rsidR="008B6AE0" w:rsidRPr="006F5764" w:rsidRDefault="008B6AE0" w:rsidP="008B6AE0">
      <w:pPr>
        <w:numPr>
          <w:ilvl w:val="4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6F5764">
        <w:rPr>
          <w:rFonts w:ascii="Times New Roman" w:hAnsi="Times New Roman" w:cs="Times New Roman"/>
          <w:color w:val="000000"/>
          <w:sz w:val="24"/>
        </w:rPr>
        <w:t>Zużyte opony o kodzie 16 01 03 do rozmiaru 1250 x 400 mm,</w:t>
      </w:r>
    </w:p>
    <w:p w:rsidR="008B6AE0" w:rsidRPr="006F5764" w:rsidRDefault="008B6AE0" w:rsidP="008B6AE0">
      <w:pPr>
        <w:numPr>
          <w:ilvl w:val="4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6F5764">
        <w:rPr>
          <w:rFonts w:ascii="Times New Roman" w:hAnsi="Times New Roman" w:cs="Times New Roman"/>
          <w:color w:val="000000"/>
          <w:sz w:val="24"/>
        </w:rPr>
        <w:t>Odpady zielone o kodzie 20 02 01,</w:t>
      </w:r>
    </w:p>
    <w:p w:rsidR="008B6AE0" w:rsidRPr="006F5764" w:rsidRDefault="008B6AE0" w:rsidP="008B6AE0">
      <w:pPr>
        <w:numPr>
          <w:ilvl w:val="4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6F5764">
        <w:rPr>
          <w:rFonts w:ascii="Times New Roman" w:hAnsi="Times New Roman" w:cs="Times New Roman"/>
          <w:color w:val="000000"/>
          <w:sz w:val="24"/>
        </w:rPr>
        <w:t>Opakowania ze szkła o kodzie 15 01 07,</w:t>
      </w:r>
    </w:p>
    <w:p w:rsidR="008B6AE0" w:rsidRPr="006F5764" w:rsidRDefault="008B6AE0" w:rsidP="008B6AE0">
      <w:pPr>
        <w:numPr>
          <w:ilvl w:val="4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6F5764">
        <w:rPr>
          <w:rFonts w:ascii="Times New Roman" w:hAnsi="Times New Roman" w:cs="Times New Roman"/>
          <w:color w:val="000000"/>
          <w:sz w:val="24"/>
        </w:rPr>
        <w:t>Opakowania z tworzyw sztucznych o kodzie 15 01 02,</w:t>
      </w:r>
    </w:p>
    <w:p w:rsidR="008B6AE0" w:rsidRPr="006F5764" w:rsidRDefault="008B6AE0" w:rsidP="008B6AE0">
      <w:pPr>
        <w:numPr>
          <w:ilvl w:val="4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6F5764">
        <w:rPr>
          <w:rFonts w:ascii="Times New Roman" w:hAnsi="Times New Roman" w:cs="Times New Roman"/>
          <w:color w:val="000000"/>
          <w:sz w:val="24"/>
        </w:rPr>
        <w:t>Opakowania z papieru i tektury o kodzie 15 01 01.</w:t>
      </w:r>
    </w:p>
    <w:p w:rsidR="008B6AE0" w:rsidRPr="006F5764" w:rsidRDefault="00A946D5" w:rsidP="00A946D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3. </w:t>
      </w:r>
      <w:r w:rsidR="008B6AE0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Raz w roku w sezonie wiosennym odbywa objazdowa zbiórka odpadów </w:t>
      </w:r>
      <w:r w:rsidR="00083E3A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wielogabarytowych. Odbierane są następujące rodzaje odpadów :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</w:p>
    <w:p w:rsidR="00A946D5" w:rsidRPr="006F5764" w:rsidRDefault="00A946D5" w:rsidP="00A946D5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1. zużyty sprzęt AGD, RTV ( radia telewizory, monitory, lodówki, pralki , odkurzacze)</w:t>
      </w:r>
    </w:p>
    <w:p w:rsidR="00A946D5" w:rsidRPr="006F5764" w:rsidRDefault="00A946D5" w:rsidP="00A946D5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2. zużyte opony ( do rozmiaru 1250 mm x 400 mm )</w:t>
      </w:r>
    </w:p>
    <w:p w:rsidR="00A946D5" w:rsidRPr="006F5764" w:rsidRDefault="00A946D5" w:rsidP="00A946D5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3. złom metalowy</w:t>
      </w:r>
    </w:p>
    <w:p w:rsidR="00A946D5" w:rsidRPr="006F5764" w:rsidRDefault="00A946D5" w:rsidP="00A946D5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4. dywany, wykładziny  </w:t>
      </w:r>
    </w:p>
    <w:p w:rsidR="00A946D5" w:rsidRPr="006F5764" w:rsidRDefault="00A946D5" w:rsidP="00A946D5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5. zużyte meble i elementy stolarki ( drzwi, okna z szybami)</w:t>
      </w:r>
    </w:p>
    <w:p w:rsidR="00A946D5" w:rsidRPr="006F5764" w:rsidRDefault="00A946D5" w:rsidP="00A946D5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6. baterie i akumulatory</w:t>
      </w:r>
    </w:p>
    <w:p w:rsidR="00A946D5" w:rsidRPr="006F5764" w:rsidRDefault="00A946D5" w:rsidP="00A946D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 Ocena możliwości technicznych i organizacyjnych Gminy w zakresie gospodarowania odpadami komunalnymi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 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1. Możliwość przetwarzania zmieszanych odpadów komunalnych, odpadów zielonych oraz pozostałości z sortowania odpadów komunalnych przeznaczonych do składowania.</w:t>
      </w:r>
    </w:p>
    <w:p w:rsidR="004904D0" w:rsidRPr="006F5764" w:rsidRDefault="004904D0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lastRenderedPageBreak/>
        <w:t xml:space="preserve">Na terenie Miasta i Gminy Ostrzeszów funkcjonuje składowisko odpadów innych niż niebezpieczne 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br/>
        <w:t xml:space="preserve">i obojętne. Zlokalizowane jest w Ostrzeszowie przy ul. Ceglarskiej 1. Zgodnie WPGO dla województwa wielkopolskiego </w:t>
      </w:r>
      <w:r w:rsidR="006209C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Miasto i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Gmina Ostrzeszów należy </w:t>
      </w:r>
      <w:r w:rsidR="006209C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do regionu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IX</w:t>
      </w:r>
      <w:r w:rsidR="006209C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2. Potrzeby inwestycyjne związane z gospodarowaniem odpadami komunalnymi.</w:t>
      </w:r>
    </w:p>
    <w:p w:rsidR="00CE4B43" w:rsidRPr="006F5764" w:rsidRDefault="00A946D5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W 2014 </w:t>
      </w:r>
      <w:r w:rsidR="00CE4B4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r. nie realizowano żadnych zadań inwestycyjnych związanych z gospodarowaniem odpadami komunalnymi.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3. Liczba mieszkańców.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a) liczba mieszkańców </w:t>
      </w:r>
      <w:r w:rsidR="00CA18D1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na dzień 31.12.2014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r. – </w:t>
      </w:r>
      <w:r w:rsidR="00CA18D1"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24 139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 osób,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b) </w:t>
      </w:r>
      <w:r w:rsidR="004B528F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na dzień 31.12.2014r. liczba złożonych deklaracji od osób fizycznych wynosiła </w:t>
      </w:r>
      <w:r w:rsidR="0028576E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 xml:space="preserve">4.841 </w:t>
      </w:r>
      <w:r w:rsidR="0028576E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a od osób prawnych </w:t>
      </w:r>
      <w:r w:rsidR="0028576E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707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c) </w:t>
      </w:r>
      <w:r w:rsidR="0028576E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liczba wydanych decyzji w stosunku do osób, które nie złożyły deklaracji wynosi</w:t>
      </w:r>
      <w:r w:rsidR="001E54AE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ła</w:t>
      </w:r>
      <w:r w:rsidR="0028576E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="0028576E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38</w:t>
      </w:r>
      <w:r w:rsidR="001C4C46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 xml:space="preserve"> </w:t>
      </w:r>
      <w:r w:rsidR="001C4C46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(</w:t>
      </w:r>
      <w:r w:rsidR="006141F5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w tym 33 osoby fizyczne, 5 osób prawnych</w:t>
      </w:r>
      <w:r w:rsidR="0028576E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)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4. Ilość odpadów komunalnych wytworzonych na terenie </w:t>
      </w:r>
      <w:r w:rsidR="002F2EE9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Miasta i Gminy Ostrzeszów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.</w:t>
      </w:r>
    </w:p>
    <w:p w:rsidR="00CE4B43" w:rsidRPr="006F5764" w:rsidRDefault="00442BD4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1. </w:t>
      </w:r>
      <w:r w:rsidR="00154F74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W 2014 r. z terenu Miasta i Gminy Ostrzeszów odebrano następującą </w:t>
      </w:r>
      <w:r w:rsidR="00AE223C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ilość zmieszanych odpadów komunalnych </w:t>
      </w:r>
      <w:r w:rsidR="00AE223C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 xml:space="preserve">4.353,86 Mg </w:t>
      </w:r>
      <w:r w:rsidR="00AE223C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( w tym </w:t>
      </w:r>
      <w:r w:rsidR="00AE223C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3.463,12</w:t>
      </w:r>
      <w:r w:rsidR="00AE223C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Mg z terenu Miasta i </w:t>
      </w:r>
      <w:r w:rsidR="00AE223C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890,74</w:t>
      </w:r>
      <w:r w:rsidR="00AE223C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Mg</w:t>
      </w:r>
      <w:r w:rsidR="00FD3DE1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z terenu Gminy</w:t>
      </w:r>
      <w:r w:rsidR="00AE223C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) 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tbl>
      <w:tblPr>
        <w:tblW w:w="5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320"/>
      </w:tblGrid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D1429F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zmieszane 20 03 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D1429F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4.353,86 Mg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 15 01 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50,3 Mg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ze szkła 15 01 07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427,0 Mg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opony 16 01 03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14,8 Mg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betonu oraz gruz betonowy z rozbiórek i remontów 17 01 01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60,38 Mg 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17 01 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67,66 Mg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3A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Zmieszane odpady z budowy, remontów i demontażu </w:t>
            </w:r>
            <w:r w:rsidR="003A26B6"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E64780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22,4 Mg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3A26B6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inne niż wymienione w 20 01 31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3A26B6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 Mg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3A26B6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wielkogabarytowe 20 03 07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3A26B6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136,8 Mg</w:t>
            </w:r>
          </w:p>
        </w:tc>
      </w:tr>
      <w:tr w:rsidR="00D1429F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3A26B6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Gleba i ziemia, w tym kamienie 20 02 02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29F" w:rsidRPr="006F5764" w:rsidRDefault="003A26B6" w:rsidP="00CE4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7,72 Mg</w:t>
            </w:r>
          </w:p>
        </w:tc>
      </w:tr>
      <w:tr w:rsidR="003A26B6" w:rsidRPr="006F5764" w:rsidTr="00D1429F">
        <w:trPr>
          <w:tblCellSpacing w:w="0" w:type="dxa"/>
          <w:jc w:val="center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A26B6" w:rsidRPr="006F5764" w:rsidRDefault="003A26B6" w:rsidP="00CE4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odpady nieulegające biodegradacji 20 02 03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C7A4C" w:rsidRPr="006F5764" w:rsidRDefault="00DC7A4C" w:rsidP="00DC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276,32 Mg</w:t>
            </w:r>
          </w:p>
        </w:tc>
      </w:tr>
    </w:tbl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0C1A76" w:rsidRPr="006F5764" w:rsidRDefault="000C1A76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C1A76" w:rsidRPr="006F5764" w:rsidRDefault="000C1A76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42BD4" w:rsidRPr="006F5764" w:rsidRDefault="00442BD4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lastRenderedPageBreak/>
        <w:t>2) Osiągnięte poziomy recyklingu.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1. Poziom ograniczenia masy odpadów komunalnych ulegający</w:t>
      </w:r>
      <w:r w:rsidR="00E96C2B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ch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 biodegradacji:</w:t>
      </w:r>
      <w:r w:rsidR="00FD3DE1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="000C1A76"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0,68</w:t>
      </w:r>
      <w:r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 xml:space="preserve"> %</w:t>
      </w:r>
      <w:r w:rsidR="000C1A76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 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(poziom maksymalny</w:t>
      </w:r>
      <w:r w:rsidR="000C1A76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za 2014 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to 50 %, więc Gmina wypełniła obowiązek)</w:t>
      </w:r>
      <w:r w:rsidR="000C1A76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2. Poziom recyklingu przygotowanie do ponownego użycia następujących frakcji odpadów komunalnych: papieru, szkła, metali, tworzyw sztucznych: </w:t>
      </w:r>
      <w:r w:rsidR="000C1A76"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37,58</w:t>
      </w:r>
      <w:r w:rsidR="006E1877"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 xml:space="preserve"> %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(poziom minimalny</w:t>
      </w:r>
      <w:r w:rsidR="000C1A76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za rok 2014 to 14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%, więc Gmina osiągnęła wymagany poziom)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3. Poziom recyklingu przygotowanie do ponownego użycia innych niż niebezpieczne odpadów budowlanych – </w:t>
      </w:r>
      <w:r w:rsidRPr="006F5764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100 %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Opłaty z tytułu gospodarowania odpadam</w:t>
      </w:r>
      <w:r w:rsidR="003E6E58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i komunalnymi w okresie od 01.01.2014r. do 31.12.2014</w:t>
      </w:r>
      <w:r w:rsidR="008A542C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r.</w:t>
      </w:r>
    </w:p>
    <w:p w:rsidR="00CE4B43" w:rsidRPr="006F5764" w:rsidRDefault="0014551B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Przypis na rok 2014</w:t>
      </w:r>
      <w:r w:rsidR="005A394F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– </w:t>
      </w:r>
      <w:r w:rsidR="0097483B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1.</w:t>
      </w:r>
      <w:r w:rsidR="007E5AD1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 xml:space="preserve"> 941</w:t>
      </w:r>
      <w:r w:rsidR="0097483B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.</w:t>
      </w:r>
      <w:r w:rsidR="007E5AD1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666,00</w:t>
      </w:r>
      <w:r w:rsidR="00CE4B4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zł.</w:t>
      </w:r>
    </w:p>
    <w:p w:rsidR="00CE4B43" w:rsidRPr="006F5764" w:rsidRDefault="0014551B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Odpis na 2014</w:t>
      </w:r>
      <w:r w:rsidR="005A394F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rok – </w:t>
      </w:r>
      <w:r w:rsidR="007E5AD1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58</w:t>
      </w:r>
      <w:r w:rsidR="0097483B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.</w:t>
      </w:r>
      <w:r w:rsidR="007E5AD1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199,42</w:t>
      </w:r>
      <w:r w:rsidR="00CE4B4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zł.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Wpłaty z tytułu opłat za gospodarowanie </w:t>
      </w:r>
      <w:r w:rsidR="0097483B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odpadami komunalnymi: </w:t>
      </w:r>
      <w:r w:rsidR="0097483B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1.847.097,25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zł.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Zaległości  </w:t>
      </w:r>
      <w:r w:rsidR="0014551B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na dzień 31.12.2014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r. </w:t>
      </w:r>
      <w:r w:rsidR="0097483B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110.996,63</w:t>
      </w: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zł.</w:t>
      </w:r>
    </w:p>
    <w:p w:rsidR="00CE4B43" w:rsidRPr="006F5764" w:rsidRDefault="0014551B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Nadpłaty na dzień 31.12.2014</w:t>
      </w:r>
      <w:r w:rsidR="0097483B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r. </w:t>
      </w:r>
      <w:r w:rsidR="0097483B"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13.588,40</w:t>
      </w:r>
      <w:r w:rsidR="00CE4B43"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zł.</w:t>
      </w:r>
    </w:p>
    <w:p w:rsidR="00442BD4" w:rsidRPr="006F5764" w:rsidRDefault="00442BD4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 xml:space="preserve"> Wyposażenie mieszkańców w pojemniki do segregacji.</w:t>
      </w:r>
    </w:p>
    <w:p w:rsidR="00CE4B43" w:rsidRPr="006F5764" w:rsidRDefault="00156C0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Jednym z zadań Operatora wybranego w drodze przetargu było wyposażenie wszystkich właścicieli nieruchomości w pojemniki. </w:t>
      </w:r>
    </w:p>
    <w:p w:rsidR="00CE4B43" w:rsidRPr="006F5764" w:rsidRDefault="00CE4B43" w:rsidP="00CE4B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bookmarkStart w:id="0" w:name="_GoBack"/>
      <w:bookmarkEnd w:id="0"/>
      <w:r w:rsidRPr="006F5764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 </w:t>
      </w:r>
    </w:p>
    <w:p w:rsidR="00DE4211" w:rsidRPr="006F5764" w:rsidRDefault="00DE4211">
      <w:pPr>
        <w:rPr>
          <w:rFonts w:ascii="Times New Roman" w:hAnsi="Times New Roman" w:cs="Times New Roman"/>
          <w:sz w:val="28"/>
        </w:rPr>
      </w:pPr>
    </w:p>
    <w:sectPr w:rsidR="00DE4211" w:rsidRPr="006F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CA0"/>
    <w:multiLevelType w:val="multilevel"/>
    <w:tmpl w:val="0CC672C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1.6.%4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50C439B7"/>
    <w:multiLevelType w:val="hybridMultilevel"/>
    <w:tmpl w:val="0E5A00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43"/>
    <w:rsid w:val="00083E3A"/>
    <w:rsid w:val="00094D13"/>
    <w:rsid w:val="000C1A76"/>
    <w:rsid w:val="0014551B"/>
    <w:rsid w:val="00154F74"/>
    <w:rsid w:val="00156C03"/>
    <w:rsid w:val="001C4C46"/>
    <w:rsid w:val="001E54AE"/>
    <w:rsid w:val="0028576E"/>
    <w:rsid w:val="002F2EE9"/>
    <w:rsid w:val="003A26B6"/>
    <w:rsid w:val="003E6E58"/>
    <w:rsid w:val="00442BD4"/>
    <w:rsid w:val="004904D0"/>
    <w:rsid w:val="004B528F"/>
    <w:rsid w:val="005A394F"/>
    <w:rsid w:val="005B6F0C"/>
    <w:rsid w:val="006141F5"/>
    <w:rsid w:val="006209C3"/>
    <w:rsid w:val="006820E5"/>
    <w:rsid w:val="006E1877"/>
    <w:rsid w:val="006F5764"/>
    <w:rsid w:val="00793CE9"/>
    <w:rsid w:val="007C0A52"/>
    <w:rsid w:val="007C6C50"/>
    <w:rsid w:val="007E5AD1"/>
    <w:rsid w:val="008A542C"/>
    <w:rsid w:val="008B6AE0"/>
    <w:rsid w:val="0097483B"/>
    <w:rsid w:val="00A946D5"/>
    <w:rsid w:val="00AE223C"/>
    <w:rsid w:val="00B15380"/>
    <w:rsid w:val="00B413B4"/>
    <w:rsid w:val="00C13EF3"/>
    <w:rsid w:val="00C52F23"/>
    <w:rsid w:val="00C653C8"/>
    <w:rsid w:val="00CA18D1"/>
    <w:rsid w:val="00CE4B43"/>
    <w:rsid w:val="00D1429F"/>
    <w:rsid w:val="00DC7A4C"/>
    <w:rsid w:val="00DE4211"/>
    <w:rsid w:val="00E64780"/>
    <w:rsid w:val="00E85DD7"/>
    <w:rsid w:val="00E96C2B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4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4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Pracownik</cp:lastModifiedBy>
  <cp:revision>9</cp:revision>
  <cp:lastPrinted>2015-05-19T09:30:00Z</cp:lastPrinted>
  <dcterms:created xsi:type="dcterms:W3CDTF">2015-05-19T09:33:00Z</dcterms:created>
  <dcterms:modified xsi:type="dcterms:W3CDTF">2015-05-19T09:33:00Z</dcterms:modified>
</cp:coreProperties>
</file>